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27"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宋体" w:hAnsi="宋体" w:cs="宋体"/>
                <w:color w:val="000000"/>
                <w:szCs w:val="21"/>
              </w:rPr>
            </w:pPr>
            <w:r>
              <w:rPr>
                <w:rFonts w:hint="eastAsia" w:hAnsi="宋体" w:cs="宋体"/>
                <w:color w:val="000000"/>
              </w:rPr>
              <w:t>一、工程概</w:t>
            </w:r>
            <w:r>
              <w:rPr>
                <w:rFonts w:hint="eastAsia" w:ascii="宋体" w:hAnsi="宋体" w:cs="宋体"/>
                <w:color w:val="000000"/>
                <w:szCs w:val="21"/>
              </w:rPr>
              <w:t>况</w:t>
            </w:r>
            <w:r>
              <w:rPr>
                <w:rFonts w:hint="eastAsia" w:ascii="宋体" w:hAnsi="宋体" w:cs="宋体"/>
                <w:color w:val="000000"/>
                <w:szCs w:val="21"/>
                <w:lang w:eastAsia="zh-CN"/>
              </w:rPr>
              <w:t>：</w:t>
            </w:r>
            <w:r>
              <w:rPr>
                <w:rFonts w:hint="eastAsia" w:hAnsi="宋体" w:cs="宋体"/>
                <w:color w:val="000000"/>
                <w:szCs w:val="21"/>
                <w:lang w:val="en-US" w:eastAsia="zh-CN"/>
              </w:rPr>
              <w:t>杭州电子科技大学9教、10教、11教、12教外墙整修工程</w:t>
            </w:r>
            <w:r>
              <w:rPr>
                <w:rFonts w:hint="eastAsia" w:ascii="宋体" w:hAnsi="宋体" w:cs="宋体"/>
                <w:color w:val="auto"/>
                <w:highlight w:val="none"/>
                <w:lang w:eastAsia="zh-CN"/>
              </w:rPr>
              <w:t>，</w:t>
            </w:r>
            <w:r>
              <w:rPr>
                <w:rFonts w:hint="eastAsia" w:ascii="宋体" w:hAnsi="宋体" w:cs="宋体"/>
                <w:color w:val="000000"/>
                <w:szCs w:val="21"/>
                <w:lang w:val="en-US" w:eastAsia="zh-CN"/>
              </w:rPr>
              <w:t>杭州电子科技大学</w:t>
            </w:r>
            <w:r>
              <w:rPr>
                <w:rFonts w:hint="eastAsia" w:hAnsi="宋体" w:cs="宋体"/>
                <w:color w:val="000000"/>
                <w:szCs w:val="21"/>
                <w:lang w:val="en-US" w:eastAsia="zh-CN"/>
              </w:rPr>
              <w:t>9教、10教、11教、12教外墙整修工程</w:t>
            </w:r>
            <w:r>
              <w:rPr>
                <w:rFonts w:hint="eastAsia" w:ascii="宋体" w:hAnsi="宋体" w:cs="宋体"/>
                <w:color w:val="auto"/>
                <w:highlight w:val="none"/>
                <w:lang w:eastAsia="zh-CN"/>
              </w:rPr>
              <w:t>，主要为外立面整修、栏杆油漆及整修更换、空调水集中排放、外墙及窗户清洗等</w:t>
            </w:r>
            <w:r>
              <w:rPr>
                <w:rFonts w:hint="eastAsia" w:ascii="宋体" w:hAnsi="宋体" w:cs="宋体"/>
                <w:color w:val="000000"/>
                <w:szCs w:val="21"/>
              </w:rPr>
              <w:t>。</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宋体" w:hAnsi="宋体" w:cs="宋体"/>
                <w:color w:val="000000"/>
                <w:szCs w:val="21"/>
              </w:rPr>
            </w:pPr>
            <w:r>
              <w:rPr>
                <w:rFonts w:hint="eastAsia" w:ascii="宋体" w:hAnsi="宋体" w:cs="宋体"/>
                <w:color w:val="000000"/>
                <w:szCs w:val="21"/>
              </w:rPr>
              <w:t>二、工程招标范围：根据业主提供的</w:t>
            </w:r>
            <w:r>
              <w:rPr>
                <w:rFonts w:hint="eastAsia" w:ascii="宋体" w:hAnsi="宋体" w:cs="宋体"/>
                <w:color w:val="000000"/>
                <w:szCs w:val="21"/>
                <w:lang w:eastAsia="zh-CN"/>
              </w:rPr>
              <w:t>相关资料</w:t>
            </w:r>
            <w:r>
              <w:rPr>
                <w:rFonts w:hint="eastAsia" w:ascii="宋体" w:hAnsi="宋体" w:cs="宋体"/>
                <w:color w:val="000000"/>
                <w:szCs w:val="21"/>
              </w:rPr>
              <w:t>确</w:t>
            </w:r>
            <w:r>
              <w:rPr>
                <w:rFonts w:hint="eastAsia" w:cs="宋体"/>
                <w:color w:val="000000"/>
              </w:rPr>
              <w:t>定的范围。</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Ansi="宋体" w:cs="宋体"/>
                <w:color w:val="000000"/>
              </w:rPr>
            </w:pPr>
            <w:r>
              <w:rPr>
                <w:rFonts w:hint="eastAsia" w:hAnsi="宋体" w:cs="宋体"/>
                <w:color w:val="000000"/>
              </w:rPr>
              <w:t>三、编制依据：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．《关于印发建设工程工程量计算规范（2013）浙江省补充规定的通知》（浙建站计﹝2013﹞63号）；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．《浙江省建设工程计价规则》（2018版）；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8.《关于增值税调整后我省建设工程计价依据增值税税率及有关计价调整的通知》（浙建建发[2019]92号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10.《省建设厅关于调整建筑工程安全文明施工费的通知》（浙建建发[2022]37号）；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cs="宋体" w:asciiTheme="majorEastAsia" w:hAnsiTheme="majorEastAsia" w:eastAsiaTheme="majorEastAsia"/>
                <w:color w:val="0000FF"/>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11.关于贯彻《省建设厅关于调整建筑工程安全文明施工费的通知》的通知</w:t>
            </w:r>
            <w:r>
              <w:rPr>
                <w:rFonts w:hint="eastAsia" w:cs="宋体" w:asciiTheme="majorEastAsia" w:hAnsiTheme="majorEastAsia" w:eastAsiaTheme="majorEastAsia"/>
                <w:color w:val="0000FF"/>
                <w:szCs w:val="21"/>
                <w:highlight w:val="none"/>
                <w:lang w:val="en-US" w:eastAsia="zh-CN"/>
              </w:rPr>
              <w:t>（浙建建发[2022]37号）；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．省、市建设行政主管部门以及工程造价管理机构颁发的相关计价办法和计价规定；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．其他与工程项目有关的规范、标准和技术资料；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．施工现场实际情况、工程特点、常规施工方案；</w:t>
            </w:r>
          </w:p>
          <w:p>
            <w:pPr>
              <w:pStyle w:val="3"/>
              <w:keepNext w:val="0"/>
              <w:keepLines w:val="0"/>
              <w:pageBreakBefore w:val="0"/>
              <w:widowControl w:val="0"/>
              <w:tabs>
                <w:tab w:val="left" w:pos="306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四、报价要求：</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1</w:t>
            </w:r>
            <w:r>
              <w:rPr>
                <w:rFonts w:hint="eastAsia" w:hAnsi="宋体" w:cs="宋体"/>
                <w:color w:val="000000"/>
                <w:lang w:val="en-US" w:eastAsia="zh-CN"/>
              </w:rPr>
              <w:t>.</w:t>
            </w:r>
            <w:r>
              <w:rPr>
                <w:rFonts w:hint="eastAsia" w:hAnsi="宋体" w:cs="宋体"/>
                <w:color w:val="000000"/>
              </w:rPr>
              <w:t>工程量清单应与投标人须知，通用合同条款、专用合同条款、技术标准和要求及图纸等文件结合起来查阅与理解，并根据现场实际情况综合考虑报价；</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2</w:t>
            </w:r>
            <w:r>
              <w:rPr>
                <w:rFonts w:hint="eastAsia" w:hAnsi="宋体" w:cs="宋体"/>
                <w:color w:val="000000"/>
                <w:lang w:val="en-US" w:eastAsia="zh-CN"/>
              </w:rPr>
              <w:t>.</w:t>
            </w:r>
            <w:r>
              <w:rPr>
                <w:rFonts w:hint="eastAsia" w:hAnsi="宋体" w:cs="宋体"/>
                <w:color w:val="000000"/>
              </w:rPr>
              <w:t>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int="eastAsia" w:hAnsi="宋体" w:cs="宋体"/>
                <w:color w:val="000000"/>
              </w:rPr>
              <w:t>3</w:t>
            </w:r>
            <w:r>
              <w:rPr>
                <w:rFonts w:hint="eastAsia" w:hAnsi="宋体" w:cs="宋体"/>
                <w:color w:val="000000"/>
                <w:lang w:val="en-US" w:eastAsia="zh-CN"/>
              </w:rPr>
              <w:t>.</w:t>
            </w:r>
            <w:r>
              <w:rPr>
                <w:rFonts w:hint="eastAsia" w:hAnsi="宋体" w:cs="宋体"/>
                <w:color w:val="000000"/>
              </w:rPr>
              <w:t>工程量清单中本合同工程的每一个细目，都需填入单价；对于没有填入单价或总额价的细目，其费用应视为包括在工作量清单的其他单价或总额价中，承包人必须按监理工程师指令完</w:t>
            </w:r>
            <w:r>
              <w:rPr>
                <w:rFonts w:hint="eastAsia" w:hAnsi="宋体" w:cs="宋体"/>
                <w:color w:val="000000"/>
                <w:highlight w:val="none"/>
              </w:rPr>
              <w:t>成工程量清单中未填入单价或总额价的工程细目，但不能得到结算与支付；</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4</w:t>
            </w:r>
            <w:r>
              <w:rPr>
                <w:rFonts w:hint="eastAsia" w:hAnsi="宋体" w:cs="宋体"/>
                <w:color w:val="000000"/>
                <w:highlight w:val="none"/>
                <w:lang w:val="en-US" w:eastAsia="zh-CN"/>
              </w:rPr>
              <w:t>.</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5</w:t>
            </w:r>
            <w:r>
              <w:rPr>
                <w:rFonts w:hint="eastAsia" w:hAnsi="宋体" w:cs="宋体"/>
                <w:color w:val="000000"/>
                <w:highlight w:val="none"/>
                <w:lang w:val="en-US" w:eastAsia="zh-CN"/>
              </w:rPr>
              <w:t>.</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6</w:t>
            </w:r>
            <w:r>
              <w:rPr>
                <w:rFonts w:hint="eastAsia" w:hAnsi="宋体" w:cs="宋体"/>
                <w:color w:val="000000"/>
                <w:highlight w:val="none"/>
                <w:lang w:val="en-US" w:eastAsia="zh-CN"/>
              </w:rPr>
              <w:t>.</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lang w:eastAsia="zh-CN"/>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r>
              <w:rPr>
                <w:rFonts w:hint="eastAsia" w:hAnsi="宋体" w:cs="宋体"/>
                <w:color w:val="000000"/>
                <w:highlight w:val="none"/>
                <w:lang w:eastAsia="zh-CN"/>
              </w:rPr>
              <w:t>；</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lang w:val="en-US" w:eastAsia="zh-CN"/>
              </w:rPr>
              <w:t>.</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pPr>
              <w:pStyle w:val="3"/>
              <w:keepNext w:val="0"/>
              <w:keepLines w:val="0"/>
              <w:pageBreakBefore w:val="0"/>
              <w:widowControl w:val="0"/>
              <w:kinsoku/>
              <w:wordWrap/>
              <w:overflowPunct/>
              <w:topLinePunct w:val="0"/>
              <w:bidi w:val="0"/>
              <w:adjustRightInd/>
              <w:snapToGrid/>
              <w:spacing w:line="360" w:lineRule="auto"/>
              <w:jc w:val="both"/>
              <w:textAlignment w:val="auto"/>
              <w:rPr>
                <w:rFonts w:hint="eastAsia" w:hAnsi="宋体" w:cs="宋体"/>
                <w:color w:val="000000"/>
                <w:highlight w:val="none"/>
              </w:rPr>
            </w:pPr>
            <w:r>
              <w:rPr>
                <w:rFonts w:hint="eastAsia" w:hAnsi="宋体" w:cs="宋体"/>
                <w:color w:val="000000"/>
                <w:highlight w:val="none"/>
              </w:rPr>
              <w:t>五、</w:t>
            </w:r>
            <w:r>
              <w:rPr>
                <w:rFonts w:hint="eastAsia" w:hAnsi="宋体" w:cs="宋体"/>
                <w:color w:val="000000"/>
                <w:highlight w:val="none"/>
                <w:lang w:val="en-US" w:eastAsia="zh-CN"/>
              </w:rPr>
              <w:t>编制说明</w:t>
            </w:r>
            <w:r>
              <w:rPr>
                <w:rFonts w:hint="eastAsia" w:hAnsi="宋体" w:cs="宋体"/>
                <w:color w:val="00000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1、施工过程中须严格按照甲方及现场实际需要做好安全、文明施工措施，确保施工安全，费用自行考虑</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2、外墙整修须按吊篮施工，费用自行考虑，不得采用无安全措施的施工方式。</w:t>
            </w:r>
          </w:p>
          <w:p>
            <w:pPr>
              <w:pStyle w:val="2"/>
              <w:rPr>
                <w:rFonts w:hint="default"/>
                <w:lang w:val="en-US"/>
              </w:rPr>
            </w:pPr>
            <w:r>
              <w:rPr>
                <w:rFonts w:hint="eastAsia" w:ascii="宋体" w:hAnsi="宋体" w:cs="宋体"/>
                <w:color w:val="auto"/>
                <w:kern w:val="24"/>
                <w:sz w:val="21"/>
                <w:szCs w:val="21"/>
                <w:lang w:val="en-US" w:eastAsia="zh-CN"/>
              </w:rPr>
              <w:t xml:space="preserve">  </w:t>
            </w:r>
            <w:r>
              <w:rPr>
                <w:rFonts w:hint="eastAsia" w:ascii="宋体" w:hAnsi="宋体" w:eastAsia="宋体" w:cs="宋体"/>
                <w:b w:val="0"/>
                <w:bCs w:val="0"/>
                <w:caps w:val="0"/>
                <w:color w:val="auto"/>
                <w:kern w:val="24"/>
                <w:sz w:val="21"/>
                <w:szCs w:val="21"/>
                <w:lang w:val="en-US" w:eastAsia="zh-CN" w:bidi="ar-SA"/>
              </w:rPr>
              <w:t xml:space="preserve">  3、</w:t>
            </w:r>
            <w:r>
              <w:rPr>
                <w:rFonts w:hint="eastAsia" w:ascii="宋体" w:hAnsi="宋体" w:cs="宋体"/>
                <w:b w:val="0"/>
                <w:bCs w:val="0"/>
                <w:caps w:val="0"/>
                <w:color w:val="auto"/>
                <w:kern w:val="24"/>
                <w:sz w:val="21"/>
                <w:szCs w:val="21"/>
                <w:lang w:val="en-US" w:eastAsia="zh-CN" w:bidi="ar-SA"/>
              </w:rPr>
              <w:t>外墙面砖须按原面砖规格颜色。</w:t>
            </w:r>
          </w:p>
          <w:p>
            <w:pPr>
              <w:keepNext w:val="0"/>
              <w:keepLines w:val="0"/>
              <w:pageBreakBefore w:val="0"/>
              <w:widowControl w:val="0"/>
              <w:kinsoku/>
              <w:wordWrap/>
              <w:overflowPunct/>
              <w:topLinePunct/>
              <w:autoSpaceDE/>
              <w:autoSpaceDN/>
              <w:bidi w:val="0"/>
              <w:adjustRightInd/>
              <w:snapToGrid/>
              <w:spacing w:line="360" w:lineRule="auto"/>
              <w:jc w:val="left"/>
              <w:textAlignment w:val="auto"/>
              <w:rPr>
                <w:rFonts w:hint="eastAsia" w:hAnsi="宋体" w:cs="宋体"/>
                <w:color w:val="000000"/>
                <w:lang w:val="en-US" w:eastAsia="zh-CN"/>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val="en-US" w:eastAsia="zh-CN"/>
              </w:rPr>
              <w:t>其他说明：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cs="宋体"/>
                <w:color w:val="000000"/>
                <w:szCs w:val="21"/>
                <w:lang w:val="en-US" w:eastAsia="zh-CN"/>
              </w:rPr>
              <w:t>4</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5</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6</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分部分项工程量清单中的工程量是按实物净量计算，一切损耗均应在投标报价内；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cs="宋体"/>
                <w:color w:val="000000"/>
                <w:szCs w:val="21"/>
                <w:lang w:val="en-US" w:eastAsia="zh-CN"/>
              </w:rPr>
              <w:t>7</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8</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投标人应充分考虑脚手架等技术措施，相应费用计入技术措施费中，并充分考虑报价风险，今后结算不进行调整；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9</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cs="宋体"/>
                <w:color w:val="000000"/>
                <w:szCs w:val="21"/>
                <w:lang w:val="en-US" w:eastAsia="zh-CN"/>
              </w:rPr>
              <w:t>0</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相关工艺施工前应做的基层清理工作应包含在投标报价中，清单特征描述中不再一一描述；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w:t>
            </w:r>
            <w:r>
              <w:rPr>
                <w:rFonts w:hint="eastAsia" w:ascii="宋体" w:hAnsi="宋体" w:cs="宋体"/>
                <w:color w:val="000000"/>
                <w:szCs w:val="21"/>
                <w:lang w:val="en-US" w:eastAsia="zh-CN"/>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pPr>
              <w:numPr>
                <w:ilvl w:val="0"/>
                <w:numId w:val="0"/>
              </w:numPr>
              <w:tabs>
                <w:tab w:val="left" w:pos="0"/>
              </w:tabs>
              <w:topLinePunct/>
              <w:spacing w:line="440" w:lineRule="exact"/>
              <w:jc w:val="left"/>
              <w:rPr>
                <w:rFonts w:hint="eastAsia" w:ascii="宋体" w:hAnsi="宋体" w:eastAsia="宋体" w:cs="宋体"/>
                <w:b/>
                <w:kern w:val="1"/>
                <w:sz w:val="24"/>
                <w:szCs w:val="24"/>
                <w:lang w:eastAsia="zh-CN"/>
              </w:rPr>
            </w:pPr>
            <w:r>
              <w:rPr>
                <w:rFonts w:hint="eastAsia" w:ascii="宋体" w:hAnsi="宋体" w:eastAsia="宋体" w:cs="宋体"/>
                <w:b/>
                <w:kern w:val="1"/>
                <w:sz w:val="24"/>
                <w:szCs w:val="24"/>
                <w:lang w:val="en-US" w:eastAsia="zh-CN"/>
              </w:rPr>
              <w:t>七、</w:t>
            </w:r>
            <w:r>
              <w:rPr>
                <w:rFonts w:hint="eastAsia" w:ascii="宋体" w:hAnsi="宋体" w:eastAsia="宋体" w:cs="宋体"/>
                <w:b/>
                <w:kern w:val="1"/>
                <w:sz w:val="24"/>
                <w:szCs w:val="24"/>
                <w:lang w:eastAsia="zh-CN"/>
              </w:rPr>
              <w:t>品牌推荐表：</w:t>
            </w:r>
          </w:p>
          <w:tbl>
            <w:tblPr>
              <w:tblStyle w:val="7"/>
              <w:tblW w:w="0" w:type="auto"/>
              <w:jc w:val="center"/>
              <w:tblLayout w:type="autofit"/>
              <w:tblCellMar>
                <w:top w:w="0" w:type="dxa"/>
                <w:left w:w="108" w:type="dxa"/>
                <w:bottom w:w="0" w:type="dxa"/>
                <w:right w:w="108" w:type="dxa"/>
              </w:tblCellMar>
            </w:tblPr>
            <w:tblGrid>
              <w:gridCol w:w="783"/>
              <w:gridCol w:w="1977"/>
              <w:gridCol w:w="2943"/>
              <w:gridCol w:w="1443"/>
              <w:gridCol w:w="1386"/>
            </w:tblGrid>
            <w:tr>
              <w:tblPrEx>
                <w:tblCellMar>
                  <w:top w:w="0" w:type="dxa"/>
                  <w:left w:w="108" w:type="dxa"/>
                  <w:bottom w:w="0" w:type="dxa"/>
                  <w:right w:w="108" w:type="dxa"/>
                </w:tblCellMar>
              </w:tblPrEx>
              <w:trPr>
                <w:trHeight w:val="345"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197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材料名称</w:t>
                  </w:r>
                </w:p>
              </w:tc>
              <w:tc>
                <w:tcPr>
                  <w:tcW w:w="29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品牌或产地</w:t>
                  </w:r>
                </w:p>
              </w:tc>
              <w:tc>
                <w:tcPr>
                  <w:tcW w:w="14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等级</w:t>
                  </w:r>
                </w:p>
              </w:tc>
              <w:tc>
                <w:tcPr>
                  <w:tcW w:w="138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备注</w:t>
                  </w:r>
                </w:p>
              </w:tc>
            </w:tr>
            <w:tr>
              <w:tblPrEx>
                <w:tblCellMar>
                  <w:top w:w="0" w:type="dxa"/>
                  <w:left w:w="108" w:type="dxa"/>
                  <w:bottom w:w="0" w:type="dxa"/>
                  <w:right w:w="108" w:type="dxa"/>
                </w:tblCellMar>
              </w:tblPrEx>
              <w:trPr>
                <w:trHeight w:val="463" w:hRule="atLeast"/>
                <w:jc w:val="center"/>
              </w:trPr>
              <w:tc>
                <w:tcPr>
                  <w:tcW w:w="78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9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4"/>
                      <w:szCs w:val="24"/>
                      <w:lang w:val="en-US" w:eastAsia="zh-CN"/>
                    </w:rPr>
                  </w:pPr>
                  <w:r>
                    <w:rPr>
                      <w:rFonts w:hint="eastAsia"/>
                      <w:color w:val="auto"/>
                      <w:sz w:val="24"/>
                      <w:szCs w:val="24"/>
                    </w:rPr>
                    <w:t>乳胶漆</w:t>
                  </w:r>
                </w:p>
              </w:tc>
              <w:tc>
                <w:tcPr>
                  <w:tcW w:w="29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亚士</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多乐士</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立邦</w:t>
                  </w:r>
                </w:p>
              </w:tc>
              <w:tc>
                <w:tcPr>
                  <w:tcW w:w="14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vertAlign w:val="baseline"/>
                      <w:lang w:eastAsia="zh-CN"/>
                    </w:rPr>
                    <w:t>优等品</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vertAlign w:val="baseline"/>
                      <w:lang w:eastAsia="zh-CN"/>
                    </w:rPr>
                    <w:t>或相当于</w:t>
                  </w:r>
                </w:p>
              </w:tc>
            </w:tr>
          </w:tbl>
          <w:p>
            <w:pPr>
              <w:pStyle w:val="3"/>
              <w:keepNext w:val="0"/>
              <w:keepLines w:val="0"/>
              <w:pageBreakBefore w:val="0"/>
              <w:widowControl w:val="0"/>
              <w:kinsoku/>
              <w:wordWrap/>
              <w:overflowPunct/>
              <w:topLinePunct w:val="0"/>
              <w:bidi w:val="0"/>
              <w:adjustRightInd/>
              <w:snapToGrid/>
              <w:spacing w:line="360" w:lineRule="auto"/>
              <w:jc w:val="both"/>
              <w:textAlignment w:val="auto"/>
              <w:rPr>
                <w:rFonts w:ascii="宋体" w:hAnsi="宋体" w:cs="宋体"/>
                <w:color w:val="000000"/>
                <w:szCs w:val="21"/>
              </w:rPr>
            </w:pPr>
            <w:r>
              <w:rPr>
                <w:rFonts w:hint="eastAsia" w:ascii="宋体" w:hAnsi="宋体" w:eastAsia="宋体" w:cs="宋体"/>
                <w:kern w:val="1"/>
                <w:sz w:val="24"/>
                <w:szCs w:val="24"/>
              </w:rPr>
              <w:t>注意：涂料</w:t>
            </w:r>
            <w:r>
              <w:rPr>
                <w:rFonts w:hint="eastAsia" w:ascii="宋体" w:hAnsi="宋体" w:eastAsia="宋体" w:cs="宋体"/>
                <w:kern w:val="1"/>
                <w:sz w:val="24"/>
                <w:szCs w:val="24"/>
                <w:lang w:eastAsia="zh-CN"/>
              </w:rPr>
              <w:t>、油漆</w:t>
            </w:r>
            <w:r>
              <w:rPr>
                <w:rFonts w:hint="eastAsia" w:ascii="宋体" w:hAnsi="宋体" w:eastAsia="宋体" w:cs="宋体"/>
                <w:kern w:val="1"/>
                <w:sz w:val="24"/>
                <w:szCs w:val="24"/>
              </w:rPr>
              <w:t>要达</w:t>
            </w:r>
            <w:bookmarkStart w:id="0" w:name="_GoBack"/>
            <w:bookmarkEnd w:id="0"/>
            <w:r>
              <w:rPr>
                <w:rFonts w:hint="eastAsia" w:ascii="宋体" w:hAnsi="宋体" w:eastAsia="宋体" w:cs="宋体"/>
                <w:kern w:val="1"/>
                <w:sz w:val="24"/>
                <w:szCs w:val="24"/>
              </w:rPr>
              <w:t>到环保E</w:t>
            </w:r>
            <w:r>
              <w:rPr>
                <w:rFonts w:hint="eastAsia" w:ascii="宋体" w:hAnsi="宋体" w:eastAsia="宋体" w:cs="宋体"/>
                <w:kern w:val="1"/>
                <w:sz w:val="24"/>
                <w:szCs w:val="24"/>
                <w:lang w:val="en-US" w:eastAsia="zh-CN"/>
              </w:rPr>
              <w:t>1</w:t>
            </w:r>
            <w:r>
              <w:rPr>
                <w:rFonts w:hint="eastAsia" w:ascii="宋体" w:hAnsi="宋体" w:eastAsia="宋体" w:cs="宋体"/>
                <w:kern w:val="1"/>
                <w:sz w:val="24"/>
                <w:szCs w:val="24"/>
              </w:rPr>
              <w:t>级标准。</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-181610</wp:posOffset>
              </wp:positionH>
              <wp:positionV relativeFrom="paragraph">
                <wp:posOffset>212090</wp:posOffset>
              </wp:positionV>
              <wp:extent cx="5629910" cy="732790"/>
              <wp:effectExtent l="4445" t="4445" r="23495" b="5715"/>
              <wp:wrapSquare wrapText="bothSides"/>
              <wp:docPr id="1" name="文本框 2"/>
              <wp:cNvGraphicFramePr/>
              <a:graphic xmlns:a="http://schemas.openxmlformats.org/drawingml/2006/main">
                <a:graphicData uri="http://schemas.microsoft.com/office/word/2010/wordprocessingShape">
                  <wps:wsp>
                    <wps:cNvSpPr txBox="1"/>
                    <wps:spPr>
                      <a:xfrm>
                        <a:off x="0" y="0"/>
                        <a:ext cx="5629910" cy="73279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杭州电子科技大学下沙校区1、3、7教及9-12教学楼外立面整修工程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wps:txbx>
                    <wps:bodyPr vert="horz" anchor="t" upright="1"/>
                  </wps:wsp>
                </a:graphicData>
              </a:graphic>
            </wp:anchor>
          </w:drawing>
        </mc:Choice>
        <mc:Fallback>
          <w:pict>
            <v:shape id="文本框 2" o:spid="_x0000_s1026" o:spt="202" type="#_x0000_t202" style="position:absolute;left:0pt;margin-left:-14.3pt;margin-top:16.7pt;height:57.7pt;width:443.3pt;mso-wrap-distance-bottom:3.6pt;mso-wrap-distance-left:9pt;mso-wrap-distance-right:9pt;mso-wrap-distance-top:3.6pt;z-index:251659264;mso-width-relative:page;mso-height-relative:page;" fillcolor="#FFFFFF" filled="t" stroked="t" coordsize="21600,21600" o:gfxdata="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nHWoc2AAAAAoBAAAP&#10;AAAAAAAAAAEAIAAAACIAAABkcnMvZG93bnJldi54bWxQSwECFAAUAAAACACHTuJA+uxZeRgCAABN&#10;BAAADgAAAAAAAAABACAAAAAnAQAAZHJzL2Uyb0RvYy54bWxQSwUGAAAAAAYABgBZAQAAsQU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杭州电子科技大学下沙校区1、3、7教及9-12教学楼外立面整修工程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150E8"/>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436C14"/>
    <w:rsid w:val="03366EA6"/>
    <w:rsid w:val="0E613268"/>
    <w:rsid w:val="0F090DE9"/>
    <w:rsid w:val="0FE7115A"/>
    <w:rsid w:val="12BF28AB"/>
    <w:rsid w:val="13347445"/>
    <w:rsid w:val="158F443B"/>
    <w:rsid w:val="17A4103D"/>
    <w:rsid w:val="17B943BD"/>
    <w:rsid w:val="18E13BCB"/>
    <w:rsid w:val="1AEE7B63"/>
    <w:rsid w:val="1B617245"/>
    <w:rsid w:val="1B6503C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C706577"/>
    <w:rsid w:val="2E6115DE"/>
    <w:rsid w:val="2EE638B2"/>
    <w:rsid w:val="2FFC01A5"/>
    <w:rsid w:val="32421F05"/>
    <w:rsid w:val="3251196A"/>
    <w:rsid w:val="326D515A"/>
    <w:rsid w:val="32D541E9"/>
    <w:rsid w:val="344572AC"/>
    <w:rsid w:val="367A2E09"/>
    <w:rsid w:val="37A06BBE"/>
    <w:rsid w:val="3B464036"/>
    <w:rsid w:val="3C4774FE"/>
    <w:rsid w:val="4033368A"/>
    <w:rsid w:val="40CB28E7"/>
    <w:rsid w:val="43A03C3B"/>
    <w:rsid w:val="43C024AB"/>
    <w:rsid w:val="453B44DF"/>
    <w:rsid w:val="45C87AA1"/>
    <w:rsid w:val="4698326B"/>
    <w:rsid w:val="46D7097B"/>
    <w:rsid w:val="497242D2"/>
    <w:rsid w:val="49951CE4"/>
    <w:rsid w:val="49A41BDF"/>
    <w:rsid w:val="4A3E656D"/>
    <w:rsid w:val="4A3F4DA2"/>
    <w:rsid w:val="4A62606A"/>
    <w:rsid w:val="4A652AEB"/>
    <w:rsid w:val="4B90280D"/>
    <w:rsid w:val="4C1C277B"/>
    <w:rsid w:val="4CEB0070"/>
    <w:rsid w:val="4E110852"/>
    <w:rsid w:val="50B60EBE"/>
    <w:rsid w:val="526B2003"/>
    <w:rsid w:val="53973ACB"/>
    <w:rsid w:val="54016821"/>
    <w:rsid w:val="56C63E25"/>
    <w:rsid w:val="57255D0E"/>
    <w:rsid w:val="585821BA"/>
    <w:rsid w:val="587766E0"/>
    <w:rsid w:val="588C69A8"/>
    <w:rsid w:val="591F3539"/>
    <w:rsid w:val="5989518F"/>
    <w:rsid w:val="5C5F065B"/>
    <w:rsid w:val="5CE9261B"/>
    <w:rsid w:val="5F5B1A49"/>
    <w:rsid w:val="5F681F1D"/>
    <w:rsid w:val="5FDE3F8D"/>
    <w:rsid w:val="644A7BC0"/>
    <w:rsid w:val="65614110"/>
    <w:rsid w:val="6563635E"/>
    <w:rsid w:val="67F26C0E"/>
    <w:rsid w:val="68352A03"/>
    <w:rsid w:val="69CD3422"/>
    <w:rsid w:val="6B1D0764"/>
    <w:rsid w:val="6C264CF2"/>
    <w:rsid w:val="6D07065E"/>
    <w:rsid w:val="6F07626B"/>
    <w:rsid w:val="717F3467"/>
    <w:rsid w:val="722577FA"/>
    <w:rsid w:val="72435ED2"/>
    <w:rsid w:val="730C00E3"/>
    <w:rsid w:val="73621405"/>
    <w:rsid w:val="74890514"/>
    <w:rsid w:val="74B2104F"/>
    <w:rsid w:val="74C45836"/>
    <w:rsid w:val="756248C1"/>
    <w:rsid w:val="76740D50"/>
    <w:rsid w:val="77122EE5"/>
    <w:rsid w:val="773744A0"/>
    <w:rsid w:val="794A4EA4"/>
    <w:rsid w:val="7B013861"/>
    <w:rsid w:val="7BE44282"/>
    <w:rsid w:val="7C4C2CAE"/>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2288</Words>
  <Characters>2468</Characters>
  <Lines>13</Lines>
  <Paragraphs>3</Paragraphs>
  <TotalTime>0</TotalTime>
  <ScaleCrop>false</ScaleCrop>
  <LinksUpToDate>false</LinksUpToDate>
  <CharactersWithSpaces>2475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2021-03-25T11:59:00Z</cp:lastPrinted>
  <dcterms:modified xsi:type="dcterms:W3CDTF">2023-07-25T02:43:26Z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CC07AE87BEEE4EF0BA3A4B2C2397955B</vt:lpwstr>
  </property>
</Properties>
</file>